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F4" w:rsidRDefault="00E666F4" w:rsidP="00E666F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E666F4" w:rsidRDefault="00E666F4" w:rsidP="00E666F4">
      <w:pPr>
        <w:rPr>
          <w:rFonts w:ascii="Calibri" w:hAnsi="Calibri" w:cs="Calibri"/>
          <w:color w:val="767171" w:themeColor="background2" w:themeShade="80"/>
          <w:sz w:val="26"/>
          <w:szCs w:val="26"/>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0338/2doJAM/2017-JN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E666F4" w:rsidRDefault="00E666F4" w:rsidP="00E666F4">
      <w:pPr>
        <w:pStyle w:val="Textoindependiente"/>
        <w:rPr>
          <w:rFonts w:ascii="Calibri" w:hAnsi="Calibri" w:cs="Calibri"/>
          <w:color w:val="767171" w:themeColor="background2" w:themeShade="80"/>
          <w:sz w:val="26"/>
          <w:szCs w:val="26"/>
        </w:rPr>
      </w:pPr>
    </w:p>
    <w:p w:rsidR="00E666F4" w:rsidRDefault="00E666F4" w:rsidP="00E666F4">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E666F4" w:rsidRDefault="00E666F4" w:rsidP="00E666F4">
      <w:pPr>
        <w:pStyle w:val="Textoindependiente"/>
        <w:ind w:firstLine="708"/>
        <w:jc w:val="center"/>
        <w:rPr>
          <w:rFonts w:ascii="Calibri" w:hAnsi="Calibri" w:cs="Calibri"/>
          <w:b/>
          <w:bCs/>
          <w:color w:val="767171" w:themeColor="background2" w:themeShade="80"/>
          <w:sz w:val="26"/>
          <w:szCs w:val="26"/>
        </w:rPr>
      </w:pPr>
    </w:p>
    <w:p w:rsidR="00E666F4" w:rsidRDefault="00E666F4" w:rsidP="00E666F4">
      <w:pPr>
        <w:pStyle w:val="Textoindependiente"/>
        <w:rPr>
          <w:rFonts w:ascii="Calibri" w:hAnsi="Calibri" w:cs="Calibri"/>
          <w:b/>
          <w:bCs/>
          <w:color w:val="767171" w:themeColor="background2" w:themeShade="80"/>
          <w:sz w:val="26"/>
          <w:szCs w:val="26"/>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E666F4" w:rsidRDefault="00E666F4" w:rsidP="00E666F4">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0338/2doJAM/2017-JN</w:t>
      </w:r>
    </w:p>
    <w:p w:rsidR="00E666F4" w:rsidRDefault="00E666F4" w:rsidP="00E666F4">
      <w:pPr>
        <w:pStyle w:val="Textoindependiente"/>
        <w:rPr>
          <w:rFonts w:ascii="Calibri" w:hAnsi="Calibri" w:cs="Calibri"/>
          <w:color w:val="767171" w:themeColor="background2" w:themeShade="80"/>
          <w:sz w:val="26"/>
          <w:szCs w:val="26"/>
        </w:rPr>
      </w:pPr>
    </w:p>
    <w:p w:rsidR="00E666F4" w:rsidRDefault="00E666F4" w:rsidP="00E666F4">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25 veinticinco de enero del año 2017 dos mil diecisiete, sin que de las constancias de la presente causa administrativa se desprenda lo contrario. . . . . . . . . . . . . . . . . . . . . . . . . . . . . . . . . . . </w:t>
      </w:r>
    </w:p>
    <w:p w:rsidR="00E666F4" w:rsidRDefault="00E666F4" w:rsidP="00E666F4">
      <w:pPr>
        <w:jc w:val="both"/>
        <w:rPr>
          <w:rFonts w:ascii="Calibri" w:hAnsi="Calibri" w:cs="Calibri"/>
          <w:b/>
          <w:i/>
          <w:iCs/>
          <w:color w:val="767171" w:themeColor="background2" w:themeShade="80"/>
          <w:sz w:val="26"/>
          <w:szCs w:val="26"/>
          <w:lang w:val="es-MX"/>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359833 (tres-cinco-nueve-ocho-tres-tres), de fecha 25 veinticinco de enero del año 2017 dos mil diecisiete; documento que, admitido como prueba a las partes (visible a foja 25 veinticinco),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bCs/>
          <w:color w:val="767171" w:themeColor="background2" w:themeShade="80"/>
          <w:sz w:val="26"/>
          <w:szCs w:val="26"/>
        </w:rPr>
        <w:t xml:space="preserve">. . . . . . . . . . . . . . . . . . . . . . . . . . . . . . . . . . . . . . . . . . . . . . . . . . . . . </w:t>
      </w:r>
    </w:p>
    <w:p w:rsidR="00E666F4" w:rsidRDefault="00E666F4" w:rsidP="00E666F4">
      <w:pPr>
        <w:jc w:val="both"/>
        <w:rPr>
          <w:rFonts w:ascii="Calibri" w:hAnsi="Calibri" w:cs="Calibri"/>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E666F4" w:rsidRDefault="00E666F4" w:rsidP="00E666F4">
      <w:pPr>
        <w:jc w:val="both"/>
        <w:rPr>
          <w:rFonts w:ascii="Calibri" w:hAnsi="Calibri" w:cs="Calibri"/>
          <w:b/>
          <w:bCs/>
          <w:i/>
          <w:iCs/>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E666F4" w:rsidRDefault="00E666F4" w:rsidP="00E666F4">
      <w:pPr>
        <w:rPr>
          <w:rFonts w:ascii="Calibri" w:hAnsi="Calibri" w:cs="Calibri"/>
          <w:b/>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E666F4" w:rsidRDefault="00E666F4" w:rsidP="00E666F4">
      <w:pPr>
        <w:ind w:firstLine="708"/>
        <w:jc w:val="both"/>
        <w:rPr>
          <w:rFonts w:ascii="Calibri" w:hAnsi="Calibri" w:cs="Calibri"/>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 Notario Público número 99 en legal ejercicio en el Partido Judicial de León, Guanajuato, (visible en autos a fojas 5 cinco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 . . . . . . . </w:t>
      </w:r>
    </w:p>
    <w:p w:rsidR="00E666F4" w:rsidRDefault="00E666F4" w:rsidP="00E666F4">
      <w:pPr>
        <w:jc w:val="both"/>
        <w:rPr>
          <w:rFonts w:ascii="Calibri" w:hAnsi="Calibri" w:cs="Calibri"/>
          <w:b/>
          <w:bCs/>
          <w:i/>
          <w:iCs/>
          <w:color w:val="767171" w:themeColor="background2" w:themeShade="80"/>
          <w:sz w:val="26"/>
          <w:szCs w:val="26"/>
        </w:rPr>
      </w:pPr>
    </w:p>
    <w:p w:rsidR="00E666F4" w:rsidRDefault="00E666F4" w:rsidP="00E666F4">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E666F4" w:rsidRDefault="00E666F4" w:rsidP="00E666F4">
      <w:pPr>
        <w:jc w:val="both"/>
        <w:rPr>
          <w:rFonts w:ascii="Calibri" w:hAnsi="Calibri" w:cs="Calibri"/>
          <w:b/>
          <w:bCs/>
          <w:i/>
          <w:iCs/>
          <w:color w:val="767171" w:themeColor="background2" w:themeShade="80"/>
          <w:sz w:val="26"/>
          <w:szCs w:val="26"/>
        </w:rPr>
      </w:pPr>
    </w:p>
    <w:p w:rsidR="00E666F4" w:rsidRDefault="00E666F4" w:rsidP="00E666F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w:t>
      </w:r>
      <w:r>
        <w:rPr>
          <w:rFonts w:ascii="Calibri" w:hAnsi="Calibri" w:cs="Calibri"/>
          <w:bCs/>
          <w:iCs/>
          <w:color w:val="767171" w:themeColor="background2" w:themeShade="80"/>
          <w:sz w:val="26"/>
          <w:szCs w:val="26"/>
        </w:rPr>
        <w:lastRenderedPageBreak/>
        <w:t xml:space="preserve">combatido se encuentra debidamente fundado y motivado y que por ello no afecta los intereses jurídicos de la actora; configurándose el supuesto previsto en la fracción I del artículo 261 del Código antedicho. . . . . . . . . </w:t>
      </w:r>
      <w:r>
        <w:rPr>
          <w:rFonts w:ascii="Calibri" w:hAnsi="Calibri"/>
          <w:bCs/>
          <w:color w:val="767171" w:themeColor="background2" w:themeShade="80"/>
          <w:sz w:val="26"/>
          <w:szCs w:val="26"/>
        </w:rPr>
        <w:t xml:space="preserve">. . . . . . . . . . . . . . . . . . </w:t>
      </w:r>
    </w:p>
    <w:p w:rsidR="00E666F4" w:rsidRDefault="00E666F4" w:rsidP="00E666F4">
      <w:pPr>
        <w:pStyle w:val="Sangradetextonormal"/>
        <w:ind w:left="0" w:firstLine="708"/>
        <w:jc w:val="both"/>
        <w:rPr>
          <w:rFonts w:ascii="Calibri" w:hAnsi="Calibri" w:cs="Calibri"/>
          <w:bCs/>
          <w:iCs/>
          <w:color w:val="767171" w:themeColor="background2" w:themeShade="80"/>
          <w:sz w:val="26"/>
          <w:szCs w:val="26"/>
        </w:rPr>
      </w:pPr>
    </w:p>
    <w:p w:rsidR="00E666F4" w:rsidRDefault="00E666F4" w:rsidP="00E666F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286865174 (dos-ocho-seis-ocho-seis-cinco-uno-siete-cuatro) del autobús marca Mercedes Benz, tipo ómnibus, modelo 2015 dos mil quince con placas número 749028-D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17 diecisiete)-;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w:t>
      </w:r>
    </w:p>
    <w:p w:rsidR="00E666F4" w:rsidRDefault="00E666F4" w:rsidP="00E666F4">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0338/2doJAM/2017-JN</w:t>
      </w:r>
    </w:p>
    <w:p w:rsidR="00E666F4" w:rsidRDefault="00E666F4" w:rsidP="00E666F4">
      <w:pPr>
        <w:pStyle w:val="Sangradetextonormal"/>
        <w:ind w:left="0" w:firstLine="708"/>
        <w:jc w:val="both"/>
        <w:rPr>
          <w:rFonts w:ascii="Calibri" w:hAnsi="Calibri" w:cs="Calibri"/>
          <w:bCs/>
          <w:iCs/>
          <w:color w:val="767171" w:themeColor="background2" w:themeShade="80"/>
          <w:sz w:val="26"/>
          <w:szCs w:val="26"/>
        </w:rPr>
      </w:pPr>
    </w:p>
    <w:p w:rsidR="00E666F4" w:rsidRDefault="00E666F4" w:rsidP="00E666F4">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proceso</w:t>
      </w:r>
      <w:proofErr w:type="gramEnd"/>
      <w:r>
        <w:rPr>
          <w:rFonts w:ascii="Calibri" w:hAnsi="Calibri" w:cs="Calibri"/>
          <w:bCs/>
          <w:iCs/>
          <w:color w:val="767171" w:themeColor="background2" w:themeShade="80"/>
          <w:sz w:val="26"/>
          <w:szCs w:val="26"/>
        </w:rPr>
        <w:t xml:space="preserve">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E666F4" w:rsidRDefault="00E666F4" w:rsidP="00E666F4">
      <w:pPr>
        <w:pStyle w:val="Sangradetextonormal"/>
        <w:ind w:left="0" w:firstLine="708"/>
        <w:jc w:val="both"/>
        <w:rPr>
          <w:rFonts w:ascii="Calibri" w:hAnsi="Calibri" w:cs="Calibri"/>
          <w:bCs/>
          <w:iCs/>
          <w:color w:val="7F7F7F" w:themeColor="text1" w:themeTint="80"/>
          <w:sz w:val="26"/>
          <w:szCs w:val="26"/>
        </w:rPr>
      </w:pPr>
    </w:p>
    <w:p w:rsidR="00E666F4" w:rsidRDefault="00E666F4" w:rsidP="00E666F4">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E666F4" w:rsidRDefault="00E666F4" w:rsidP="00E666F4">
      <w:pPr>
        <w:jc w:val="both"/>
        <w:rPr>
          <w:rFonts w:ascii="Calibri" w:hAnsi="Calibri" w:cs="Calibri"/>
          <w:b/>
          <w:bCs/>
          <w:i/>
          <w:iCs/>
          <w:color w:val="767171" w:themeColor="background2" w:themeShade="80"/>
          <w:sz w:val="26"/>
          <w:szCs w:val="26"/>
          <w:lang w:val="es-MX"/>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666F4" w:rsidRDefault="00E666F4" w:rsidP="00E666F4">
      <w:pPr>
        <w:jc w:val="both"/>
        <w:rPr>
          <w:rFonts w:ascii="Calibri" w:hAnsi="Calibri" w:cs="Calibri"/>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25 veinticinco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359833 (tres-cinco-nueve-ocho-tres-tres), en la que señaló como concepto de la infracción: </w:t>
      </w:r>
      <w:r>
        <w:rPr>
          <w:rFonts w:ascii="Calibri" w:hAnsi="Calibri" w:cs="Calibri"/>
          <w:i/>
          <w:color w:val="767171" w:themeColor="background2" w:themeShade="80"/>
          <w:sz w:val="26"/>
          <w:szCs w:val="26"/>
        </w:rPr>
        <w:t xml:space="preserve">“Por no cumplir con la ruta, horario, itinerario y frecuencias autorizadas por la dirección. (Afore la ruta A31…percatándome que la unidad LE-861 correspondiente al despacho físico #14 con horario programado a las 06:07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salida de estación San Juan Bosco y saliendo a las 06:40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tuvo un retraso de 33 minutos sin servicio, siendo su primer corrida)”;</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Acta que dio origen a una sanción consistente en una multa por la cantidad de $949.52 (Novecientos cuarenta y nueve pesos 52/100 Moneda Nacional), misma que fue pagada, como se acredita con el original del recibo oficial </w:t>
      </w:r>
      <w:r>
        <w:rPr>
          <w:rFonts w:ascii="Calibri" w:hAnsi="Calibri" w:cs="Calibri"/>
          <w:b/>
          <w:color w:val="7F7F7F" w:themeColor="text1" w:themeTint="80"/>
          <w:sz w:val="26"/>
          <w:szCs w:val="26"/>
        </w:rPr>
        <w:t>AA 6635668 (seis-seis-tres-cinco-seis-seis-ocho)</w:t>
      </w:r>
      <w:r>
        <w:rPr>
          <w:rFonts w:ascii="Calibri" w:hAnsi="Calibri" w:cs="Calibri"/>
          <w:color w:val="7F7F7F" w:themeColor="text1" w:themeTint="80"/>
          <w:sz w:val="26"/>
          <w:szCs w:val="26"/>
        </w:rPr>
        <w:t xml:space="preserve"> </w:t>
      </w:r>
      <w:r>
        <w:rPr>
          <w:rFonts w:ascii="Calibri" w:hAnsi="Calibri" w:cs="Calibri"/>
          <w:color w:val="767171" w:themeColor="background2" w:themeShade="80"/>
          <w:sz w:val="26"/>
          <w:szCs w:val="26"/>
        </w:rPr>
        <w:t xml:space="preserve"> de fecha 7 siete de abril del año en curso (palpable a foja 46 cuarenta y seis) . . . . </w:t>
      </w:r>
    </w:p>
    <w:p w:rsidR="00E666F4" w:rsidRDefault="00E666F4" w:rsidP="00E666F4">
      <w:pPr>
        <w:ind w:firstLine="708"/>
        <w:jc w:val="both"/>
        <w:rPr>
          <w:rFonts w:ascii="Calibri" w:hAnsi="Calibri" w:cs="Calibri"/>
          <w:color w:val="767171" w:themeColor="background2" w:themeShade="80"/>
          <w:sz w:val="26"/>
          <w:szCs w:val="26"/>
        </w:rPr>
      </w:pPr>
    </w:p>
    <w:p w:rsidR="00E666F4" w:rsidRDefault="00E666F4" w:rsidP="00E666F4">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xml:space="preserve">. . . . . . . . . . . . . . . . . . . . . . . . . . . . . . . </w:t>
      </w:r>
    </w:p>
    <w:p w:rsidR="00E666F4" w:rsidRDefault="00E666F4" w:rsidP="00E666F4">
      <w:pPr>
        <w:pStyle w:val="Textoindependiente"/>
        <w:tabs>
          <w:tab w:val="left" w:pos="3594"/>
        </w:tabs>
        <w:rPr>
          <w:rFonts w:ascii="Calibri" w:hAnsi="Calibri" w:cs="Calibri"/>
          <w:iCs/>
          <w:color w:val="767171" w:themeColor="background2" w:themeShade="80"/>
          <w:sz w:val="26"/>
          <w:szCs w:val="26"/>
        </w:rPr>
      </w:pPr>
    </w:p>
    <w:p w:rsidR="00E666F4" w:rsidRDefault="00E666F4" w:rsidP="00E666F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E666F4" w:rsidRDefault="00E666F4" w:rsidP="00E666F4">
      <w:pPr>
        <w:pStyle w:val="Textoindependiente"/>
        <w:tabs>
          <w:tab w:val="left" w:pos="3594"/>
        </w:tabs>
        <w:rPr>
          <w:rFonts w:ascii="Calibri" w:hAnsi="Calibri" w:cs="Calibri"/>
          <w:iCs/>
          <w:color w:val="767171" w:themeColor="background2" w:themeShade="80"/>
          <w:sz w:val="26"/>
          <w:szCs w:val="26"/>
        </w:rPr>
      </w:pPr>
    </w:p>
    <w:p w:rsidR="00E666F4" w:rsidRDefault="00E666F4" w:rsidP="00E666F4">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359833 (tres-cinco-nueve-ocho-tres-tres), de fecha 25 veinticinco de enero del año 2017 dos mil diecisiete, además de establecer la procedencia o improcedencia </w:t>
      </w:r>
      <w:r>
        <w:rPr>
          <w:rFonts w:ascii="Calibri" w:hAnsi="Calibri" w:cs="Calibri"/>
          <w:color w:val="7F7F7F" w:themeColor="text1" w:themeTint="80"/>
          <w:sz w:val="26"/>
          <w:szCs w:val="26"/>
        </w:rPr>
        <w:t xml:space="preserve">de sus pretensiones. . . . . . </w:t>
      </w:r>
    </w:p>
    <w:p w:rsidR="00E666F4" w:rsidRDefault="00E666F4" w:rsidP="00E666F4">
      <w:pPr>
        <w:jc w:val="both"/>
        <w:rPr>
          <w:color w:val="767171" w:themeColor="background2" w:themeShade="80"/>
          <w:sz w:val="22"/>
        </w:rPr>
      </w:pPr>
    </w:p>
    <w:p w:rsidR="00E666F4" w:rsidRDefault="00E666F4" w:rsidP="00E666F4">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bCs/>
          <w:color w:val="767171" w:themeColor="background2" w:themeShade="80"/>
          <w:sz w:val="26"/>
          <w:szCs w:val="26"/>
        </w:rPr>
        <w:t xml:space="preserve"> </w:t>
      </w:r>
    </w:p>
    <w:p w:rsidR="00E666F4" w:rsidRDefault="00E666F4" w:rsidP="00E666F4">
      <w:pPr>
        <w:ind w:firstLine="708"/>
        <w:jc w:val="both"/>
        <w:rPr>
          <w:color w:val="767171" w:themeColor="background2" w:themeShade="80"/>
          <w:lang w:val="es-MX"/>
        </w:rPr>
      </w:pPr>
    </w:p>
    <w:p w:rsidR="00E666F4" w:rsidRDefault="00E666F4" w:rsidP="00E666F4">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666F4" w:rsidRDefault="00E666F4" w:rsidP="00E666F4">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……..al elaborar la infracción…. toda vez que la infracción recurrida </w:t>
      </w:r>
      <w:r>
        <w:rPr>
          <w:rFonts w:ascii="Calibri" w:hAnsi="Calibri" w:cs="Calibri"/>
          <w:b/>
          <w:i/>
          <w:color w:val="767171" w:themeColor="background2" w:themeShade="80"/>
          <w:sz w:val="26"/>
          <w:szCs w:val="26"/>
        </w:rPr>
        <w:t>ostenta ambigüedad y oscuridad…deja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acredita el inspector haber permanecido en el lugar de la infracción,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 </w:t>
      </w:r>
      <w:r>
        <w:rPr>
          <w:rFonts w:ascii="Calibri" w:hAnsi="Calibri"/>
          <w:bCs/>
          <w:color w:val="767171" w:themeColor="background2" w:themeShade="80"/>
          <w:sz w:val="26"/>
          <w:szCs w:val="26"/>
        </w:rPr>
        <w:t xml:space="preserve">. . . . . . . . . . . . . . . . . . . . . . . . . . . . . . </w:t>
      </w:r>
    </w:p>
    <w:p w:rsidR="00E666F4" w:rsidRDefault="00E666F4" w:rsidP="00E666F4">
      <w:pPr>
        <w:ind w:firstLine="708"/>
        <w:jc w:val="both"/>
        <w:rPr>
          <w:rFonts w:ascii="Calibri" w:hAnsi="Calibri" w:cs="Calibri"/>
          <w:iCs/>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E666F4" w:rsidRDefault="00E666F4" w:rsidP="00E666F4">
      <w:pPr>
        <w:jc w:val="both"/>
        <w:rPr>
          <w:rFonts w:ascii="Calibri" w:hAnsi="Calibri" w:cs="Calibri"/>
          <w:bCs/>
          <w:color w:val="AEAAAA" w:themeColor="background2" w:themeShade="BF"/>
          <w:sz w:val="26"/>
          <w:szCs w:val="26"/>
        </w:rPr>
      </w:pPr>
    </w:p>
    <w:p w:rsidR="00E666F4" w:rsidRDefault="00E666F4" w:rsidP="00E666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p>
    <w:p w:rsidR="00E666F4" w:rsidRDefault="00E666F4" w:rsidP="00E666F4">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0338/2doJAM/2017-JN</w:t>
      </w:r>
    </w:p>
    <w:p w:rsidR="00E666F4" w:rsidRDefault="00E666F4" w:rsidP="00E666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E666F4" w:rsidRDefault="00E666F4" w:rsidP="00E666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número </w:t>
      </w:r>
      <w:r>
        <w:rPr>
          <w:rFonts w:ascii="Calibri" w:hAnsi="Calibri" w:cs="Calibri"/>
          <w:color w:val="767171" w:themeColor="background2" w:themeShade="80"/>
          <w:sz w:val="26"/>
          <w:szCs w:val="26"/>
        </w:rPr>
        <w:t xml:space="preserve">359833 (tres-cinco-nueve-ocho-tres-tres), de fecha 25 veinticinco de enero de enero del año 2017 dos mil diecisiete, sin la debida y suficiente motivación de la boleta; pues como lo señaló la parte actora, dejó de precisar aspectos trascendentales para determinar si hubo una infracción al precepto citado como </w:t>
      </w:r>
      <w:r>
        <w:rPr>
          <w:rFonts w:ascii="Calibri" w:hAnsi="Calibri" w:cs="Calibri"/>
          <w:color w:val="767171" w:themeColor="background2" w:themeShade="80"/>
          <w:sz w:val="26"/>
          <w:szCs w:val="26"/>
        </w:rPr>
        <w:lastRenderedPageBreak/>
        <w:t xml:space="preserve">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 . . . . . . . . . . . . . . . </w:t>
      </w:r>
      <w:r>
        <w:rPr>
          <w:rFonts w:ascii="Calibri" w:hAnsi="Calibri" w:cs="Calibri"/>
          <w:color w:val="767171" w:themeColor="background2" w:themeShade="80"/>
          <w:sz w:val="26"/>
          <w:szCs w:val="26"/>
        </w:rPr>
        <w:t xml:space="preserve">. . . . . .  </w:t>
      </w:r>
    </w:p>
    <w:p w:rsidR="00E666F4" w:rsidRDefault="00E666F4" w:rsidP="00E666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
    <w:p w:rsidR="00E666F4" w:rsidRDefault="00E666F4" w:rsidP="00E666F4">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para poder así establecer que existió una inobservancia a la obligación contenida en el artículo y su fracción, distinguido como quebrantado</w:t>
      </w:r>
      <w:r>
        <w:rPr>
          <w:rFonts w:ascii="Calibri" w:hAnsi="Calibri"/>
          <w:color w:val="7F7F7F" w:themeColor="text1" w:themeTint="80"/>
          <w:sz w:val="26"/>
          <w:szCs w:val="26"/>
        </w:rPr>
        <w:t xml:space="preserve">, aunado </w:t>
      </w:r>
      <w:r>
        <w:rPr>
          <w:rFonts w:ascii="Calibri" w:hAnsi="Calibri" w:cs="Calibri"/>
          <w:bCs/>
          <w:color w:val="767171" w:themeColor="background2" w:themeShade="80"/>
          <w:sz w:val="26"/>
          <w:szCs w:val="26"/>
        </w:rPr>
        <w:t xml:space="preserve">a que, el lenguaje utilizado es poco claro, ya que no precisa a que se refieren términos como: </w:t>
      </w:r>
      <w:r>
        <w:rPr>
          <w:rFonts w:ascii="Calibri" w:hAnsi="Calibri" w:cs="Calibri"/>
          <w:bCs/>
          <w:i/>
          <w:color w:val="767171" w:themeColor="background2" w:themeShade="80"/>
          <w:sz w:val="26"/>
          <w:szCs w:val="26"/>
        </w:rPr>
        <w:t xml:space="preserve">“Afore”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w:t>
      </w:r>
      <w:r>
        <w:rPr>
          <w:rFonts w:ascii="Calibri" w:hAnsi="Calibri" w:cs="Calibri"/>
          <w:color w:val="767171" w:themeColor="background2" w:themeShade="80"/>
          <w:sz w:val="26"/>
          <w:szCs w:val="26"/>
        </w:rPr>
        <w:t xml:space="preserve">. . . . . . . . . . . . . . . . . . . . . . . . . . </w:t>
      </w:r>
    </w:p>
    <w:p w:rsidR="00E666F4" w:rsidRDefault="00E666F4" w:rsidP="00E666F4">
      <w:pPr>
        <w:ind w:firstLine="708"/>
        <w:jc w:val="both"/>
        <w:rPr>
          <w:rFonts w:ascii="Calibri" w:hAnsi="Calibri"/>
          <w:color w:val="7F7F7F" w:themeColor="text1" w:themeTint="80"/>
          <w:sz w:val="26"/>
          <w:szCs w:val="26"/>
        </w:rPr>
      </w:pPr>
    </w:p>
    <w:p w:rsidR="00E666F4" w:rsidRDefault="00E666F4" w:rsidP="00E666F4">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cs="Calibri"/>
          <w:color w:val="767171" w:themeColor="background2" w:themeShade="80"/>
          <w:sz w:val="26"/>
          <w:szCs w:val="26"/>
        </w:rPr>
        <w:t xml:space="preserve">. . . . . . . . . . . . . . . . . . . . . . . . . . . . . . . . . . . . . . . . . . . . . . . . . . . . . </w:t>
      </w:r>
    </w:p>
    <w:p w:rsidR="00E666F4" w:rsidRDefault="00E666F4" w:rsidP="00E666F4">
      <w:pPr>
        <w:ind w:firstLine="708"/>
        <w:jc w:val="both"/>
        <w:rPr>
          <w:rFonts w:ascii="Calibri" w:hAnsi="Calibri" w:cs="Calibri"/>
          <w:bCs/>
          <w:color w:val="767171" w:themeColor="background2" w:themeShade="80"/>
          <w:sz w:val="26"/>
          <w:szCs w:val="26"/>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no 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359833 (tres-cinco-nueve-ocho-tres-tres),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25</w:t>
      </w:r>
      <w:r>
        <w:rPr>
          <w:rFonts w:ascii="Calibri" w:hAnsi="Calibri" w:cs="Calibri"/>
          <w:color w:val="767171" w:themeColor="background2" w:themeShade="80"/>
          <w:sz w:val="26"/>
          <w:szCs w:val="26"/>
        </w:rPr>
        <w:t xml:space="preserve"> veinticinco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w:t>
      </w:r>
    </w:p>
    <w:p w:rsidR="00E666F4" w:rsidRDefault="00E666F4" w:rsidP="00E666F4">
      <w:pPr>
        <w:jc w:val="both"/>
        <w:rPr>
          <w:rFonts w:ascii="Calibri" w:hAnsi="Calibri" w:cs="Calibri"/>
          <w:color w:val="767171" w:themeColor="background2" w:themeShade="80"/>
          <w:sz w:val="26"/>
          <w:szCs w:val="26"/>
        </w:rPr>
      </w:pPr>
    </w:p>
    <w:p w:rsidR="00E666F4" w:rsidRDefault="00E666F4" w:rsidP="00E666F4">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666F4" w:rsidRDefault="00E666F4" w:rsidP="00E666F4">
      <w:pPr>
        <w:pStyle w:val="Textoindependiente"/>
        <w:rPr>
          <w:rFonts w:ascii="Calibri" w:hAnsi="Calibri" w:cs="Arial"/>
          <w:color w:val="767171" w:themeColor="background2" w:themeShade="80"/>
          <w:sz w:val="20"/>
          <w:szCs w:val="27"/>
          <w:lang w:val="es-ES"/>
        </w:rPr>
      </w:pPr>
    </w:p>
    <w:p w:rsidR="00E666F4" w:rsidRDefault="00E666F4" w:rsidP="00E666F4">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E666F4" w:rsidRDefault="00E666F4" w:rsidP="00E666F4">
      <w:pPr>
        <w:pStyle w:val="Textoindependiente"/>
        <w:rPr>
          <w:rFonts w:ascii="Calibri" w:hAnsi="Calibri"/>
          <w:b/>
          <w:bCs/>
          <w:i/>
          <w:iCs/>
          <w:color w:val="767171" w:themeColor="background2" w:themeShade="80"/>
          <w:sz w:val="26"/>
          <w:szCs w:val="27"/>
        </w:rPr>
      </w:pPr>
    </w:p>
    <w:p w:rsidR="00E666F4" w:rsidRDefault="00E666F4" w:rsidP="00E666F4">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E666F4" w:rsidRDefault="00E666F4" w:rsidP="00E666F4">
      <w:pPr>
        <w:pStyle w:val="Textoindependiente"/>
        <w:ind w:firstLine="708"/>
        <w:rPr>
          <w:rFonts w:ascii="Calibri" w:hAnsi="Calibri"/>
          <w:b/>
          <w:i/>
          <w:color w:val="767171" w:themeColor="background2" w:themeShade="80"/>
          <w:sz w:val="26"/>
        </w:rPr>
      </w:pPr>
    </w:p>
    <w:p w:rsidR="00E666F4" w:rsidRDefault="00E666F4" w:rsidP="00E666F4">
      <w:pPr>
        <w:pStyle w:val="Textoindependiente"/>
        <w:ind w:firstLine="708"/>
        <w:rPr>
          <w:rFonts w:ascii="Calibri" w:hAnsi="Calibri" w:cs="Calibri"/>
          <w:i/>
          <w:iCs/>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6635668 (seis-seis-tres-cinco-seis-seis-ocho) </w:t>
      </w:r>
      <w:r>
        <w:rPr>
          <w:rFonts w:ascii="Calibri" w:hAnsi="Calibri" w:cs="Arial"/>
          <w:color w:val="7F7F7F" w:themeColor="text1" w:themeTint="80"/>
          <w:sz w:val="26"/>
          <w:szCs w:val="27"/>
        </w:rPr>
        <w:t xml:space="preserve">de fecha 7 siete de abril del año en curso. . . . . . . . . . . . . . . . . . . . . . . . . . . . . . . . . . . . . . . . . . </w:t>
      </w:r>
      <w:r>
        <w:rPr>
          <w:rFonts w:ascii="Calibri" w:hAnsi="Calibri"/>
          <w:bCs/>
          <w:color w:val="767171" w:themeColor="background2" w:themeShade="80"/>
          <w:sz w:val="26"/>
          <w:szCs w:val="26"/>
        </w:rPr>
        <w:t xml:space="preserve">. . </w:t>
      </w:r>
    </w:p>
    <w:p w:rsidR="00E666F4" w:rsidRDefault="00E666F4" w:rsidP="00E666F4">
      <w:pPr>
        <w:pStyle w:val="Textoindependiente"/>
        <w:ind w:firstLine="708"/>
        <w:rPr>
          <w:rFonts w:ascii="Calibri" w:hAnsi="Calibri" w:cs="Arial"/>
          <w:color w:val="7F7F7F" w:themeColor="text1" w:themeTint="80"/>
          <w:sz w:val="26"/>
          <w:szCs w:val="27"/>
        </w:rPr>
      </w:pPr>
    </w:p>
    <w:p w:rsidR="00E666F4" w:rsidRDefault="00E666F4" w:rsidP="00E666F4">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E666F4" w:rsidRDefault="00E666F4" w:rsidP="00E666F4">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E666F4" w:rsidRDefault="00E666F4" w:rsidP="00E666F4">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p>
    <w:p w:rsidR="00E666F4" w:rsidRDefault="00E666F4" w:rsidP="00E666F4">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 xml:space="preserve">por lo que corresponde a esa Dirección General de Tránsito y Transporte, realizar las gestiones necesarias para que quede sin efectos el pago realizado a la autoridad </w:t>
      </w:r>
      <w:r>
        <w:rPr>
          <w:rFonts w:ascii="Calibri" w:hAnsi="Calibri" w:cs="Arial"/>
          <w:i/>
          <w:color w:val="7F7F7F" w:themeColor="text1" w:themeTint="80"/>
          <w:sz w:val="26"/>
          <w:szCs w:val="26"/>
        </w:rPr>
        <w:lastRenderedPageBreak/>
        <w:t>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E666F4" w:rsidRDefault="00E666F4" w:rsidP="00E666F4">
      <w:pPr>
        <w:pStyle w:val="Textoindependiente"/>
        <w:rPr>
          <w:rFonts w:ascii="Calibri" w:hAnsi="Calibri"/>
          <w:color w:val="767171" w:themeColor="background2" w:themeShade="80"/>
          <w:sz w:val="20"/>
          <w:szCs w:val="20"/>
          <w:lang w:val="es-ES"/>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E666F4" w:rsidRDefault="00E666F4" w:rsidP="00E666F4">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0338/2doJAM/2017-JN</w:t>
      </w:r>
    </w:p>
    <w:p w:rsidR="00E666F4" w:rsidRDefault="00E666F4" w:rsidP="00E666F4">
      <w:pPr>
        <w:pStyle w:val="Textoindependiente"/>
        <w:ind w:firstLine="708"/>
        <w:rPr>
          <w:rFonts w:ascii="Calibri" w:hAnsi="Calibri" w:cs="Calibri"/>
          <w:color w:val="767171" w:themeColor="background2" w:themeShade="80"/>
          <w:sz w:val="20"/>
          <w:szCs w:val="20"/>
        </w:rPr>
      </w:pPr>
    </w:p>
    <w:p w:rsidR="00E666F4" w:rsidRDefault="00E666F4" w:rsidP="00E666F4">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E666F4" w:rsidRDefault="00E666F4" w:rsidP="00E666F4">
      <w:pPr>
        <w:pStyle w:val="Textoindependiente"/>
        <w:rPr>
          <w:rFonts w:ascii="Calibri" w:hAnsi="Calibri" w:cs="Calibri"/>
          <w:color w:val="767171" w:themeColor="background2" w:themeShade="80"/>
          <w:sz w:val="20"/>
          <w:szCs w:val="20"/>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E666F4" w:rsidRDefault="00E666F4" w:rsidP="00E666F4">
      <w:pPr>
        <w:pStyle w:val="Textoindependiente"/>
        <w:ind w:firstLine="708"/>
        <w:rPr>
          <w:rFonts w:ascii="Calibri" w:hAnsi="Calibri" w:cs="Calibri"/>
          <w:color w:val="767171" w:themeColor="background2" w:themeShade="80"/>
          <w:sz w:val="20"/>
          <w:szCs w:val="20"/>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E666F4" w:rsidRDefault="00E666F4" w:rsidP="00E666F4">
      <w:pPr>
        <w:pStyle w:val="Textoindependiente"/>
        <w:ind w:firstLine="708"/>
        <w:rPr>
          <w:rFonts w:ascii="Calibri" w:hAnsi="Calibri" w:cs="Calibri"/>
          <w:bCs/>
          <w:iCs/>
          <w:color w:val="767171" w:themeColor="background2" w:themeShade="80"/>
          <w:sz w:val="20"/>
          <w:szCs w:val="20"/>
        </w:rPr>
      </w:pPr>
    </w:p>
    <w:p w:rsidR="00E666F4" w:rsidRDefault="00E666F4" w:rsidP="00E666F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359833</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(tres-cinco-nueve-ocho-tres-tres)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25</w:t>
      </w:r>
      <w:r>
        <w:rPr>
          <w:rFonts w:ascii="Calibri" w:hAnsi="Calibri" w:cs="Calibri"/>
          <w:color w:val="767171" w:themeColor="background2" w:themeShade="80"/>
          <w:sz w:val="26"/>
          <w:szCs w:val="26"/>
        </w:rPr>
        <w:t xml:space="preserve"> veinticinco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E666F4" w:rsidRDefault="00E666F4" w:rsidP="00E666F4">
      <w:pPr>
        <w:ind w:firstLine="708"/>
        <w:jc w:val="both"/>
        <w:rPr>
          <w:rFonts w:ascii="Calibri" w:hAnsi="Calibri" w:cs="Calibri"/>
          <w:b/>
          <w:bCs/>
          <w:i/>
          <w:iCs/>
          <w:color w:val="767171" w:themeColor="background2" w:themeShade="80"/>
          <w:sz w:val="20"/>
          <w:szCs w:val="20"/>
        </w:rPr>
      </w:pPr>
    </w:p>
    <w:p w:rsidR="00E666F4" w:rsidRDefault="00E666F4" w:rsidP="00E666F4">
      <w:pPr>
        <w:ind w:firstLine="708"/>
        <w:jc w:val="both"/>
        <w:rPr>
          <w:rFonts w:ascii="Calibri" w:hAnsi="Calibri"/>
          <w:color w:val="7F7F7F" w:themeColor="text1" w:themeTint="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E666F4" w:rsidRDefault="00E666F4" w:rsidP="00E666F4">
      <w:pPr>
        <w:jc w:val="both"/>
        <w:rPr>
          <w:rFonts w:ascii="Calibri" w:hAnsi="Calibri" w:cs="Calibri"/>
          <w:color w:val="7F7F7F" w:themeColor="text1" w:themeTint="80"/>
          <w:sz w:val="20"/>
          <w:szCs w:val="20"/>
        </w:rPr>
      </w:pPr>
    </w:p>
    <w:p w:rsidR="00E666F4" w:rsidRDefault="00E666F4" w:rsidP="00E666F4">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w:t>
      </w:r>
      <w:r>
        <w:rPr>
          <w:rFonts w:ascii="Calibri" w:hAnsi="Calibri" w:cs="Calibri"/>
          <w:bCs/>
          <w:iCs/>
          <w:color w:val="7F7F7F" w:themeColor="text1" w:themeTint="80"/>
          <w:sz w:val="26"/>
          <w:szCs w:val="26"/>
        </w:rPr>
        <w:t xml:space="preserve"> .</w:t>
      </w:r>
    </w:p>
    <w:p w:rsidR="00E666F4" w:rsidRDefault="00E666F4" w:rsidP="00E666F4">
      <w:pPr>
        <w:pStyle w:val="Textoindependiente"/>
        <w:ind w:firstLine="708"/>
        <w:rPr>
          <w:rFonts w:ascii="Calibri" w:hAnsi="Calibri" w:cs="Calibri"/>
          <w:color w:val="767171" w:themeColor="background2" w:themeShade="80"/>
          <w:sz w:val="26"/>
          <w:szCs w:val="26"/>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E666F4" w:rsidRDefault="00E666F4" w:rsidP="00E666F4">
      <w:pPr>
        <w:pStyle w:val="Textoindependiente"/>
        <w:rPr>
          <w:rFonts w:ascii="Calibri" w:hAnsi="Calibri" w:cs="Calibri"/>
          <w:color w:val="767171" w:themeColor="background2" w:themeShade="80"/>
          <w:sz w:val="20"/>
          <w:szCs w:val="20"/>
        </w:rPr>
      </w:pPr>
    </w:p>
    <w:p w:rsidR="00E666F4" w:rsidRDefault="00E666F4" w:rsidP="00E666F4">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666F4" w:rsidRDefault="00E666F4" w:rsidP="00E666F4">
      <w:pPr>
        <w:pStyle w:val="Textoindependiente"/>
        <w:ind w:firstLine="708"/>
        <w:rPr>
          <w:rFonts w:ascii="Calibri" w:hAnsi="Calibri" w:cs="Calibri"/>
          <w:color w:val="767171" w:themeColor="background2" w:themeShade="80"/>
          <w:sz w:val="26"/>
          <w:szCs w:val="26"/>
        </w:rPr>
      </w:pPr>
    </w:p>
    <w:p w:rsidR="00E666F4" w:rsidRDefault="00E666F4" w:rsidP="00E666F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E666F4" w:rsidRDefault="004F58FC">
      <w:pPr>
        <w:rPr>
          <w:lang w:val="es-MX"/>
        </w:rPr>
      </w:pPr>
      <w:bookmarkStart w:id="0" w:name="_GoBack"/>
      <w:bookmarkEnd w:id="0"/>
    </w:p>
    <w:sectPr w:rsidR="004F58FC" w:rsidRPr="00E666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F4"/>
    <w:rsid w:val="004F58FC"/>
    <w:rsid w:val="00E666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A2E25-C622-4CB5-8342-B3D7158E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6F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666F4"/>
    <w:pPr>
      <w:jc w:val="both"/>
    </w:pPr>
    <w:rPr>
      <w:lang w:val="es-MX"/>
    </w:rPr>
  </w:style>
  <w:style w:type="character" w:customStyle="1" w:styleId="TextoindependienteCar">
    <w:name w:val="Texto independiente Car"/>
    <w:basedOn w:val="Fuentedeprrafopredeter"/>
    <w:link w:val="Textoindependiente"/>
    <w:rsid w:val="00E666F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666F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666F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3527</Words>
  <Characters>19404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2017-08-31T18:17:00Z</dcterms:created>
  <dcterms:modified xsi:type="dcterms:W3CDTF">2017-08-31T18:17:00Z</dcterms:modified>
</cp:coreProperties>
</file>